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25" w:rsidRPr="00E82297" w:rsidRDefault="00E40B25" w:rsidP="00E40B25">
      <w:pPr>
        <w:pStyle w:val="Title"/>
        <w:spacing w:line="276" w:lineRule="auto"/>
        <w:rPr>
          <w:rFonts w:ascii="Arial" w:hAnsi="Arial" w:cs="B Nazanin"/>
          <w:sz w:val="24"/>
          <w:szCs w:val="24"/>
          <w:rtl/>
          <w:lang w:eastAsia="en-US" w:bidi="fa-IR"/>
        </w:rPr>
      </w:pPr>
      <w:bookmarkStart w:id="0" w:name="_GoBack"/>
      <w:bookmarkEnd w:id="0"/>
      <w:r w:rsidRPr="00E82297">
        <w:rPr>
          <w:rFonts w:ascii="Arial" w:hAnsi="Arial" w:cs="B Nazanin" w:hint="cs"/>
          <w:sz w:val="28"/>
          <w:szCs w:val="28"/>
          <w:rtl/>
          <w:lang w:eastAsia="en-US" w:bidi="fa-IR"/>
        </w:rPr>
        <w:t>بسمه تعالی</w:t>
      </w:r>
      <w:r w:rsidRPr="008D5281">
        <w:rPr>
          <w:rFonts w:ascii="Arial" w:hAnsi="Arial" w:cs="B Nazanin"/>
          <w:sz w:val="28"/>
          <w:szCs w:val="28"/>
          <w:rtl/>
          <w:lang w:eastAsia="en-US"/>
        </w:rPr>
        <w:t xml:space="preserve"> </w:t>
      </w:r>
    </w:p>
    <w:p w:rsidR="00E40B25" w:rsidRDefault="00E40B25" w:rsidP="00E40B25">
      <w:pPr>
        <w:pStyle w:val="Title"/>
        <w:spacing w:line="276" w:lineRule="auto"/>
        <w:rPr>
          <w:rFonts w:ascii="Arial" w:hAnsi="Arial" w:cs="B Nazanin"/>
          <w:sz w:val="24"/>
          <w:szCs w:val="24"/>
          <w:rtl/>
          <w:lang w:eastAsia="en-US" w:bidi="fa-IR"/>
        </w:rPr>
      </w:pPr>
      <w:r>
        <w:rPr>
          <w:rFonts w:cs="Titr" w:hint="cs"/>
          <w:noProof/>
          <w:sz w:val="36"/>
          <w:szCs w:val="36"/>
          <w:lang w:eastAsia="en-US"/>
        </w:rPr>
        <w:drawing>
          <wp:inline distT="0" distB="0" distL="0" distR="0">
            <wp:extent cx="1190625" cy="981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724">
        <w:rPr>
          <w:rFonts w:ascii="Arial" w:hAnsi="Arial" w:cs="B Nazanin"/>
          <w:sz w:val="24"/>
          <w:szCs w:val="24"/>
          <w:rtl/>
          <w:lang w:eastAsia="en-US" w:bidi="fa-IR"/>
        </w:rPr>
        <w:t xml:space="preserve">                                    </w:t>
      </w:r>
    </w:p>
    <w:p w:rsidR="00E40B25" w:rsidRPr="000E3724" w:rsidRDefault="00E40B25" w:rsidP="00E40B25">
      <w:pPr>
        <w:spacing w:line="276" w:lineRule="auto"/>
        <w:jc w:val="center"/>
        <w:rPr>
          <w:rFonts w:ascii="Arial" w:hAnsi="Arial"/>
          <w:b/>
          <w:bCs/>
          <w:sz w:val="28"/>
          <w:szCs w:val="28"/>
          <w:rtl/>
          <w:lang w:eastAsia="en-US"/>
        </w:rPr>
      </w:pPr>
      <w:r>
        <w:rPr>
          <w:rFonts w:ascii="Arial" w:hAnsi="Arial" w:hint="cs"/>
          <w:b/>
          <w:bCs/>
          <w:sz w:val="28"/>
          <w:szCs w:val="28"/>
          <w:rtl/>
          <w:lang w:eastAsia="en-US"/>
        </w:rPr>
        <w:t>د</w:t>
      </w:r>
      <w:r w:rsidRPr="000E3724">
        <w:rPr>
          <w:rFonts w:ascii="Arial" w:hAnsi="Arial"/>
          <w:b/>
          <w:bCs/>
          <w:sz w:val="28"/>
          <w:szCs w:val="28"/>
          <w:rtl/>
          <w:lang w:eastAsia="en-US"/>
        </w:rPr>
        <w:t>انش</w:t>
      </w:r>
      <w:r>
        <w:rPr>
          <w:rFonts w:ascii="Arial" w:hAnsi="Arial" w:hint="cs"/>
          <w:b/>
          <w:bCs/>
          <w:sz w:val="28"/>
          <w:szCs w:val="28"/>
          <w:rtl/>
          <w:lang w:eastAsia="en-US"/>
        </w:rPr>
        <w:t xml:space="preserve">کده </w:t>
      </w:r>
      <w:r w:rsidRPr="000E3724">
        <w:rPr>
          <w:rFonts w:ascii="Arial" w:hAnsi="Arial"/>
          <w:b/>
          <w:bCs/>
          <w:sz w:val="28"/>
          <w:szCs w:val="28"/>
          <w:rtl/>
          <w:lang w:eastAsia="en-US"/>
        </w:rPr>
        <w:t xml:space="preserve"> علوم پزشكي و خدمات بهداشتي درماني </w:t>
      </w:r>
      <w:r>
        <w:rPr>
          <w:rFonts w:ascii="Arial" w:hAnsi="Arial" w:hint="cs"/>
          <w:b/>
          <w:bCs/>
          <w:sz w:val="28"/>
          <w:szCs w:val="28"/>
          <w:rtl/>
          <w:lang w:eastAsia="en-US"/>
        </w:rPr>
        <w:t xml:space="preserve">آبادان </w:t>
      </w:r>
    </w:p>
    <w:p w:rsidR="00E40B25" w:rsidRPr="00FB7369" w:rsidRDefault="00E40B25" w:rsidP="00111D08">
      <w:pPr>
        <w:pStyle w:val="Heading1"/>
        <w:spacing w:line="276" w:lineRule="auto"/>
        <w:rPr>
          <w:rFonts w:ascii="Arial" w:hAnsi="Arial" w:cs="B Nazanin"/>
          <w:sz w:val="28"/>
          <w:szCs w:val="28"/>
          <w:rtl/>
          <w:lang w:eastAsia="en-US" w:bidi="fa-IR"/>
        </w:rPr>
      </w:pPr>
      <w:r w:rsidRPr="000E3724">
        <w:rPr>
          <w:rFonts w:ascii="Arial" w:hAnsi="Arial" w:cs="B Nazanin"/>
          <w:sz w:val="28"/>
          <w:szCs w:val="28"/>
          <w:rtl/>
          <w:lang w:eastAsia="en-US"/>
        </w:rPr>
        <w:t xml:space="preserve">معاونت </w:t>
      </w:r>
      <w:r w:rsidR="00111D08">
        <w:rPr>
          <w:rFonts w:ascii="Arial" w:hAnsi="Arial" w:cs="B Nazanin" w:hint="cs"/>
          <w:sz w:val="28"/>
          <w:szCs w:val="28"/>
          <w:rtl/>
          <w:lang w:eastAsia="en-US" w:bidi="fa-IR"/>
        </w:rPr>
        <w:t>آموزشی، تحقیقات و دانشجویی</w:t>
      </w:r>
    </w:p>
    <w:p w:rsidR="00E40B25" w:rsidRDefault="00E40B25" w:rsidP="00FB7369">
      <w:pPr>
        <w:jc w:val="center"/>
        <w:rPr>
          <w:rFonts w:cs="B Titr"/>
          <w:sz w:val="28"/>
          <w:szCs w:val="28"/>
          <w:rtl/>
        </w:rPr>
      </w:pPr>
      <w:r w:rsidRPr="00DF230C">
        <w:rPr>
          <w:rFonts w:cs="B Titr" w:hint="cs"/>
          <w:sz w:val="28"/>
          <w:szCs w:val="28"/>
          <w:rtl/>
        </w:rPr>
        <w:t xml:space="preserve">« دستور العمل نحوه اختصاص </w:t>
      </w:r>
      <w:r>
        <w:rPr>
          <w:rFonts w:cs="B Titr" w:hint="cs"/>
          <w:sz w:val="28"/>
          <w:szCs w:val="28"/>
          <w:rtl/>
        </w:rPr>
        <w:t xml:space="preserve">هزینه </w:t>
      </w:r>
      <w:r w:rsidR="00FB7369">
        <w:rPr>
          <w:rFonts w:cs="B Titr" w:hint="cs"/>
          <w:sz w:val="28"/>
          <w:szCs w:val="28"/>
          <w:rtl/>
        </w:rPr>
        <w:t>های</w:t>
      </w:r>
      <w:r w:rsidRPr="00DF230C">
        <w:rPr>
          <w:rFonts w:cs="B Titr" w:hint="cs"/>
          <w:sz w:val="28"/>
          <w:szCs w:val="28"/>
          <w:rtl/>
        </w:rPr>
        <w:t xml:space="preserve"> طرحهای تحقیقاتی »</w:t>
      </w:r>
    </w:p>
    <w:p w:rsidR="00E40B25" w:rsidRDefault="00E40B25" w:rsidP="00135A2D">
      <w:pPr>
        <w:spacing w:after="200" w:line="276" w:lineRule="auto"/>
        <w:jc w:val="left"/>
        <w:rPr>
          <w:b/>
          <w:bCs/>
          <w:sz w:val="21"/>
          <w:szCs w:val="21"/>
          <w:rtl/>
          <w:lang w:bidi="fa-IR"/>
        </w:rPr>
      </w:pPr>
    </w:p>
    <w:p w:rsidR="00FE2E2B" w:rsidRPr="00FB7369" w:rsidRDefault="00135A2D" w:rsidP="00FB7369">
      <w:pPr>
        <w:spacing w:after="200" w:line="276" w:lineRule="auto"/>
        <w:jc w:val="left"/>
        <w:rPr>
          <w:rFonts w:cs="B Titr"/>
          <w:b/>
          <w:bCs/>
          <w:sz w:val="24"/>
          <w:szCs w:val="24"/>
          <w:rtl/>
        </w:rPr>
      </w:pPr>
      <w:r w:rsidRPr="00FB7369">
        <w:rPr>
          <w:rFonts w:cs="B Titr" w:hint="cs"/>
          <w:b/>
          <w:bCs/>
          <w:sz w:val="24"/>
          <w:szCs w:val="24"/>
          <w:rtl/>
        </w:rPr>
        <w:t>الف) هزینه های پرسنلی</w:t>
      </w:r>
    </w:p>
    <w:p w:rsidR="00FE2E2B" w:rsidRDefault="00FE2E2B" w:rsidP="00135A2D">
      <w:pPr>
        <w:rPr>
          <w:rFonts w:cs="B Lotus"/>
          <w:sz w:val="21"/>
          <w:szCs w:val="21"/>
          <w:rtl/>
          <w:lang w:bidi="fa-IR"/>
        </w:rPr>
      </w:pPr>
    </w:p>
    <w:p w:rsidR="00135A2D" w:rsidRPr="00FE2E2B" w:rsidRDefault="0007651D" w:rsidP="0007651D">
      <w:pPr>
        <w:ind w:left="429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bdr w:val="double" w:sz="4" w:space="0" w:color="auto"/>
          <w:rtl/>
          <w:lang w:bidi="fa-IR"/>
        </w:rPr>
        <w:t xml:space="preserve"> امتیاز تحقیق        </w:t>
      </w:r>
      <w:r>
        <w:rPr>
          <w:b/>
          <w:bCs/>
          <w:sz w:val="24"/>
          <w:szCs w:val="24"/>
          <w:bdr w:val="double" w:sz="4" w:space="0" w:color="auto"/>
          <w:lang w:bidi="fa-IR"/>
        </w:rPr>
        <w:t>X</w:t>
      </w:r>
      <w:r>
        <w:rPr>
          <w:rFonts w:hint="cs"/>
          <w:b/>
          <w:bCs/>
          <w:sz w:val="24"/>
          <w:szCs w:val="24"/>
          <w:bdr w:val="double" w:sz="4" w:space="0" w:color="auto"/>
          <w:rtl/>
          <w:lang w:bidi="fa-IR"/>
        </w:rPr>
        <w:t xml:space="preserve">     60 </w:t>
      </w:r>
      <w:r w:rsidR="00FE2E2B" w:rsidRPr="00FE2E2B">
        <w:rPr>
          <w:rFonts w:hint="cs"/>
          <w:b/>
          <w:bCs/>
          <w:sz w:val="44"/>
          <w:szCs w:val="44"/>
          <w:bdr w:val="double" w:sz="4" w:space="0" w:color="auto"/>
          <w:rtl/>
          <w:lang w:bidi="fa-IR"/>
        </w:rPr>
        <w:t>=</w:t>
      </w:r>
      <w:r w:rsidR="00135A2D" w:rsidRPr="00FE2E2B">
        <w:rPr>
          <w:rFonts w:hint="cs"/>
          <w:b/>
          <w:bCs/>
          <w:sz w:val="44"/>
          <w:szCs w:val="44"/>
          <w:bdr w:val="double" w:sz="4" w:space="0" w:color="auto"/>
          <w:rtl/>
          <w:lang w:bidi="fa-IR"/>
        </w:rPr>
        <w:t xml:space="preserve">  </w:t>
      </w:r>
      <w:r w:rsidR="00135A2D" w:rsidRPr="00FE2E2B">
        <w:rPr>
          <w:rFonts w:hint="cs"/>
          <w:b/>
          <w:bCs/>
          <w:sz w:val="24"/>
          <w:szCs w:val="24"/>
          <w:bdr w:val="double" w:sz="4" w:space="0" w:color="auto"/>
          <w:rtl/>
          <w:lang w:bidi="fa-IR"/>
        </w:rPr>
        <w:t>مدت ساعت حق التحقیق مجری اول</w:t>
      </w:r>
    </w:p>
    <w:p w:rsidR="00135A2D" w:rsidRDefault="00135A2D" w:rsidP="00135A2D">
      <w:pPr>
        <w:ind w:left="429"/>
        <w:rPr>
          <w:rFonts w:cs="B Lotus"/>
          <w:sz w:val="21"/>
          <w:szCs w:val="21"/>
          <w:rtl/>
          <w:lang w:bidi="fa-IR"/>
        </w:rPr>
      </w:pPr>
    </w:p>
    <w:p w:rsidR="00135A2D" w:rsidRDefault="00135A2D" w:rsidP="00135A2D">
      <w:pPr>
        <w:ind w:left="429"/>
        <w:rPr>
          <w:rFonts w:cs="B Lotus"/>
          <w:sz w:val="21"/>
          <w:szCs w:val="21"/>
          <w:rtl/>
          <w:lang w:bidi="fa-IR"/>
        </w:rPr>
      </w:pPr>
      <w:r>
        <w:rPr>
          <w:rFonts w:cs="B Lotus" w:hint="cs"/>
          <w:sz w:val="21"/>
          <w:szCs w:val="21"/>
          <w:rtl/>
          <w:lang w:bidi="fa-IR"/>
        </w:rPr>
        <w:t xml:space="preserve">جدول ضرایب امتیاز تحقیقات بر اساس نوع تحقیق: </w:t>
      </w:r>
    </w:p>
    <w:p w:rsidR="00FE2E2B" w:rsidRDefault="00FE2E2B" w:rsidP="00135A2D">
      <w:pPr>
        <w:ind w:left="429"/>
        <w:rPr>
          <w:rFonts w:cs="B Lotus"/>
          <w:sz w:val="21"/>
          <w:szCs w:val="21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858"/>
        <w:gridCol w:w="1090"/>
        <w:gridCol w:w="799"/>
        <w:gridCol w:w="1588"/>
        <w:gridCol w:w="816"/>
        <w:gridCol w:w="1827"/>
        <w:gridCol w:w="919"/>
      </w:tblGrid>
      <w:tr w:rsidR="00135A2D" w:rsidRPr="00FE2E2B" w:rsidTr="00FE2E2B">
        <w:tc>
          <w:tcPr>
            <w:tcW w:w="877" w:type="pct"/>
            <w:shd w:val="clear" w:color="auto" w:fill="CCCCCC"/>
          </w:tcPr>
          <w:p w:rsidR="00135A2D" w:rsidRPr="00111D08" w:rsidRDefault="00135A2D" w:rsidP="00D536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11D08">
              <w:rPr>
                <w:rFonts w:hint="cs"/>
                <w:b/>
                <w:bCs/>
                <w:sz w:val="28"/>
                <w:szCs w:val="28"/>
                <w:rtl/>
              </w:rPr>
              <w:t>نوع طرح</w:t>
            </w:r>
          </w:p>
        </w:tc>
        <w:tc>
          <w:tcPr>
            <w:tcW w:w="448" w:type="pct"/>
            <w:shd w:val="clear" w:color="auto" w:fill="CCCCCC"/>
          </w:tcPr>
          <w:p w:rsidR="00135A2D" w:rsidRPr="00111D08" w:rsidRDefault="00135A2D" w:rsidP="00D536FE">
            <w:pPr>
              <w:ind w:left="42" w:hanging="3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11D08">
              <w:rPr>
                <w:rFonts w:hint="cs"/>
                <w:b/>
                <w:bCs/>
                <w:sz w:val="28"/>
                <w:szCs w:val="28"/>
                <w:rtl/>
              </w:rPr>
              <w:t>امتياز</w:t>
            </w:r>
          </w:p>
        </w:tc>
        <w:tc>
          <w:tcPr>
            <w:tcW w:w="569" w:type="pct"/>
            <w:shd w:val="clear" w:color="auto" w:fill="CCCCCC"/>
          </w:tcPr>
          <w:p w:rsidR="00135A2D" w:rsidRPr="00111D08" w:rsidRDefault="00135A2D" w:rsidP="00D536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11D08">
              <w:rPr>
                <w:rFonts w:hint="cs"/>
                <w:b/>
                <w:bCs/>
                <w:sz w:val="28"/>
                <w:szCs w:val="28"/>
                <w:rtl/>
              </w:rPr>
              <w:t>نوع طرح</w:t>
            </w:r>
          </w:p>
        </w:tc>
        <w:tc>
          <w:tcPr>
            <w:tcW w:w="417" w:type="pct"/>
            <w:shd w:val="clear" w:color="auto" w:fill="CCCCCC"/>
          </w:tcPr>
          <w:p w:rsidR="00135A2D" w:rsidRPr="00111D08" w:rsidRDefault="00135A2D" w:rsidP="00D536FE">
            <w:pPr>
              <w:ind w:left="42" w:hanging="3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11D08">
              <w:rPr>
                <w:rFonts w:hint="cs"/>
                <w:b/>
                <w:bCs/>
                <w:sz w:val="28"/>
                <w:szCs w:val="28"/>
                <w:rtl/>
              </w:rPr>
              <w:t>امتياز</w:t>
            </w:r>
          </w:p>
        </w:tc>
        <w:tc>
          <w:tcPr>
            <w:tcW w:w="829" w:type="pct"/>
            <w:shd w:val="clear" w:color="auto" w:fill="CCCCCC"/>
          </w:tcPr>
          <w:p w:rsidR="00135A2D" w:rsidRPr="00111D08" w:rsidRDefault="00135A2D" w:rsidP="00D536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11D08">
              <w:rPr>
                <w:rFonts w:hint="cs"/>
                <w:b/>
                <w:bCs/>
                <w:sz w:val="28"/>
                <w:szCs w:val="28"/>
                <w:rtl/>
              </w:rPr>
              <w:t>نوع طرح</w:t>
            </w:r>
          </w:p>
        </w:tc>
        <w:tc>
          <w:tcPr>
            <w:tcW w:w="426" w:type="pct"/>
            <w:shd w:val="clear" w:color="auto" w:fill="CCCCCC"/>
          </w:tcPr>
          <w:p w:rsidR="00135A2D" w:rsidRPr="00111D08" w:rsidRDefault="00135A2D" w:rsidP="00D536FE">
            <w:pPr>
              <w:ind w:left="42" w:hanging="3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11D08">
              <w:rPr>
                <w:rFonts w:hint="cs"/>
                <w:b/>
                <w:bCs/>
                <w:sz w:val="28"/>
                <w:szCs w:val="28"/>
                <w:rtl/>
              </w:rPr>
              <w:t>امتياز</w:t>
            </w:r>
          </w:p>
        </w:tc>
        <w:tc>
          <w:tcPr>
            <w:tcW w:w="954" w:type="pct"/>
            <w:shd w:val="clear" w:color="auto" w:fill="CCCCCC"/>
          </w:tcPr>
          <w:p w:rsidR="00135A2D" w:rsidRPr="00111D08" w:rsidRDefault="00135A2D" w:rsidP="00D536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11D08">
              <w:rPr>
                <w:rFonts w:hint="cs"/>
                <w:b/>
                <w:bCs/>
                <w:sz w:val="28"/>
                <w:szCs w:val="28"/>
                <w:rtl/>
              </w:rPr>
              <w:t>نوع طرح</w:t>
            </w:r>
          </w:p>
        </w:tc>
        <w:tc>
          <w:tcPr>
            <w:tcW w:w="480" w:type="pct"/>
            <w:shd w:val="clear" w:color="auto" w:fill="CCCCCC"/>
          </w:tcPr>
          <w:p w:rsidR="00135A2D" w:rsidRPr="00111D08" w:rsidRDefault="00135A2D" w:rsidP="00D536FE">
            <w:pPr>
              <w:ind w:left="42" w:hanging="3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11D08">
              <w:rPr>
                <w:rFonts w:hint="cs"/>
                <w:b/>
                <w:bCs/>
                <w:sz w:val="28"/>
                <w:szCs w:val="28"/>
                <w:rtl/>
              </w:rPr>
              <w:t>امتياز</w:t>
            </w:r>
          </w:p>
        </w:tc>
      </w:tr>
      <w:tr w:rsidR="00135A2D" w:rsidRPr="00FE2E2B" w:rsidTr="00FE2E2B">
        <w:tc>
          <w:tcPr>
            <w:tcW w:w="877" w:type="pct"/>
          </w:tcPr>
          <w:p w:rsidR="00135A2D" w:rsidRPr="00111D08" w:rsidRDefault="00135A2D" w:rsidP="00D536F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D08">
              <w:rPr>
                <w:rFonts w:hint="cs"/>
                <w:b/>
                <w:bCs/>
                <w:sz w:val="24"/>
                <w:szCs w:val="24"/>
                <w:rtl/>
              </w:rPr>
              <w:t>مداخله اي</w:t>
            </w:r>
          </w:p>
        </w:tc>
        <w:tc>
          <w:tcPr>
            <w:tcW w:w="448" w:type="pct"/>
          </w:tcPr>
          <w:p w:rsidR="00135A2D" w:rsidRPr="00111D08" w:rsidRDefault="00135A2D" w:rsidP="00D536FE">
            <w:pPr>
              <w:ind w:left="72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D0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9" w:type="pct"/>
          </w:tcPr>
          <w:p w:rsidR="00135A2D" w:rsidRPr="00111D08" w:rsidRDefault="00135A2D" w:rsidP="00D536F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D08">
              <w:rPr>
                <w:rFonts w:hint="cs"/>
                <w:b/>
                <w:bCs/>
                <w:sz w:val="24"/>
                <w:szCs w:val="24"/>
                <w:rtl/>
              </w:rPr>
              <w:t xml:space="preserve">توليدي </w:t>
            </w:r>
          </w:p>
        </w:tc>
        <w:tc>
          <w:tcPr>
            <w:tcW w:w="417" w:type="pct"/>
          </w:tcPr>
          <w:p w:rsidR="00135A2D" w:rsidRPr="00111D08" w:rsidRDefault="00135A2D" w:rsidP="00135A2D">
            <w:pPr>
              <w:ind w:left="72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D08">
              <w:rPr>
                <w:rFonts w:hint="cs"/>
                <w:b/>
                <w:bCs/>
                <w:sz w:val="24"/>
                <w:szCs w:val="24"/>
                <w:rtl/>
              </w:rPr>
              <w:t>7/1</w:t>
            </w:r>
          </w:p>
        </w:tc>
        <w:tc>
          <w:tcPr>
            <w:tcW w:w="829" w:type="pct"/>
          </w:tcPr>
          <w:p w:rsidR="00135A2D" w:rsidRPr="00111D08" w:rsidRDefault="00135A2D" w:rsidP="00D536F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D08">
              <w:rPr>
                <w:rFonts w:hint="cs"/>
                <w:b/>
                <w:bCs/>
                <w:sz w:val="24"/>
                <w:szCs w:val="24"/>
                <w:rtl/>
              </w:rPr>
              <w:t>اپيدميولوژيک تحليلي</w:t>
            </w:r>
          </w:p>
        </w:tc>
        <w:tc>
          <w:tcPr>
            <w:tcW w:w="426" w:type="pct"/>
          </w:tcPr>
          <w:p w:rsidR="00135A2D" w:rsidRPr="00111D08" w:rsidRDefault="00135A2D" w:rsidP="00135A2D">
            <w:pPr>
              <w:ind w:left="72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D08">
              <w:rPr>
                <w:rFonts w:hint="cs"/>
                <w:b/>
                <w:bCs/>
                <w:sz w:val="24"/>
                <w:szCs w:val="24"/>
                <w:rtl/>
              </w:rPr>
              <w:t>7/1</w:t>
            </w:r>
          </w:p>
        </w:tc>
        <w:tc>
          <w:tcPr>
            <w:tcW w:w="954" w:type="pct"/>
          </w:tcPr>
          <w:p w:rsidR="00135A2D" w:rsidRPr="00111D08" w:rsidRDefault="00135A2D" w:rsidP="00D536F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D08">
              <w:rPr>
                <w:rFonts w:hint="cs"/>
                <w:b/>
                <w:bCs/>
                <w:sz w:val="24"/>
                <w:szCs w:val="24"/>
                <w:rtl/>
              </w:rPr>
              <w:t>اپيدميولوژيک توصيفي</w:t>
            </w:r>
          </w:p>
        </w:tc>
        <w:tc>
          <w:tcPr>
            <w:tcW w:w="480" w:type="pct"/>
          </w:tcPr>
          <w:p w:rsidR="00135A2D" w:rsidRPr="00111D08" w:rsidRDefault="00135A2D" w:rsidP="00D536FE">
            <w:pPr>
              <w:ind w:left="72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D08">
              <w:rPr>
                <w:rFonts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135A2D" w:rsidRPr="00FE2E2B" w:rsidTr="00FE2E2B">
        <w:tc>
          <w:tcPr>
            <w:tcW w:w="877" w:type="pct"/>
          </w:tcPr>
          <w:p w:rsidR="00135A2D" w:rsidRPr="00111D08" w:rsidRDefault="00135A2D" w:rsidP="00D536F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D08">
              <w:rPr>
                <w:rFonts w:hint="cs"/>
                <w:b/>
                <w:bCs/>
                <w:sz w:val="24"/>
                <w:szCs w:val="24"/>
                <w:rtl/>
              </w:rPr>
              <w:t>کارآزمايي باليني</w:t>
            </w:r>
          </w:p>
        </w:tc>
        <w:tc>
          <w:tcPr>
            <w:tcW w:w="448" w:type="pct"/>
          </w:tcPr>
          <w:p w:rsidR="00135A2D" w:rsidRPr="00111D08" w:rsidRDefault="00135A2D" w:rsidP="00D536FE">
            <w:pPr>
              <w:ind w:left="72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D0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9" w:type="pct"/>
          </w:tcPr>
          <w:p w:rsidR="00135A2D" w:rsidRPr="00111D08" w:rsidRDefault="00135A2D" w:rsidP="00D536F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D08">
              <w:rPr>
                <w:rFonts w:hint="cs"/>
                <w:b/>
                <w:bCs/>
                <w:sz w:val="24"/>
                <w:szCs w:val="24"/>
                <w:rtl/>
              </w:rPr>
              <w:t>علوم پايه</w:t>
            </w:r>
          </w:p>
        </w:tc>
        <w:tc>
          <w:tcPr>
            <w:tcW w:w="417" w:type="pct"/>
          </w:tcPr>
          <w:p w:rsidR="00135A2D" w:rsidRPr="00111D08" w:rsidRDefault="00135A2D" w:rsidP="00135A2D">
            <w:pPr>
              <w:ind w:left="72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D08">
              <w:rPr>
                <w:rFonts w:hint="cs"/>
                <w:b/>
                <w:bCs/>
                <w:sz w:val="24"/>
                <w:szCs w:val="24"/>
                <w:rtl/>
              </w:rPr>
              <w:t>7/1</w:t>
            </w:r>
          </w:p>
        </w:tc>
        <w:tc>
          <w:tcPr>
            <w:tcW w:w="829" w:type="pct"/>
          </w:tcPr>
          <w:p w:rsidR="00135A2D" w:rsidRPr="00111D08" w:rsidRDefault="00135A2D" w:rsidP="00D536F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D08">
              <w:rPr>
                <w:rFonts w:hint="cs"/>
                <w:b/>
                <w:bCs/>
                <w:sz w:val="24"/>
                <w:szCs w:val="24"/>
                <w:rtl/>
              </w:rPr>
              <w:t>کيفي</w:t>
            </w:r>
          </w:p>
        </w:tc>
        <w:tc>
          <w:tcPr>
            <w:tcW w:w="426" w:type="pct"/>
          </w:tcPr>
          <w:p w:rsidR="00135A2D" w:rsidRPr="00111D08" w:rsidRDefault="00135A2D" w:rsidP="00135A2D">
            <w:pPr>
              <w:ind w:left="72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D08">
              <w:rPr>
                <w:rFonts w:hint="cs"/>
                <w:b/>
                <w:bCs/>
                <w:sz w:val="24"/>
                <w:szCs w:val="24"/>
                <w:rtl/>
              </w:rPr>
              <w:t>7/1</w:t>
            </w:r>
          </w:p>
        </w:tc>
        <w:tc>
          <w:tcPr>
            <w:tcW w:w="954" w:type="pct"/>
          </w:tcPr>
          <w:p w:rsidR="00135A2D" w:rsidRPr="00111D08" w:rsidRDefault="00135A2D" w:rsidP="00D536F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D08">
              <w:rPr>
                <w:rFonts w:hint="cs"/>
                <w:b/>
                <w:bCs/>
                <w:sz w:val="24"/>
                <w:szCs w:val="24"/>
                <w:rtl/>
              </w:rPr>
              <w:t xml:space="preserve">مبتني بر اطلاعات بيمارستاني </w:t>
            </w:r>
          </w:p>
        </w:tc>
        <w:tc>
          <w:tcPr>
            <w:tcW w:w="480" w:type="pct"/>
          </w:tcPr>
          <w:p w:rsidR="00135A2D" w:rsidRPr="00111D08" w:rsidRDefault="00135A2D" w:rsidP="00D536FE">
            <w:pPr>
              <w:ind w:left="72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D08">
              <w:rPr>
                <w:rFonts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</w:tbl>
    <w:p w:rsidR="00135A2D" w:rsidRDefault="00135A2D" w:rsidP="00135A2D">
      <w:pPr>
        <w:ind w:left="429"/>
        <w:rPr>
          <w:rFonts w:cs="B Lotus"/>
          <w:sz w:val="21"/>
          <w:szCs w:val="21"/>
          <w:rtl/>
          <w:lang w:bidi="fa-IR"/>
        </w:rPr>
      </w:pPr>
    </w:p>
    <w:p w:rsidR="00525E7C" w:rsidRDefault="00525E7C">
      <w:pPr>
        <w:rPr>
          <w:rtl/>
        </w:rPr>
      </w:pPr>
    </w:p>
    <w:p w:rsidR="00166061" w:rsidRPr="00166061" w:rsidRDefault="001660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Pr="00166061">
        <w:rPr>
          <w:rFonts w:hint="cs"/>
          <w:sz w:val="28"/>
          <w:szCs w:val="28"/>
          <w:rtl/>
        </w:rPr>
        <w:t>بند</w:t>
      </w:r>
      <w:r>
        <w:rPr>
          <w:rFonts w:hint="cs"/>
          <w:sz w:val="28"/>
          <w:szCs w:val="28"/>
          <w:rtl/>
        </w:rPr>
        <w:t xml:space="preserve"> 1: در مواردی که طرح بیش از یکسال به طول می انجامد فرمول در تعداد سنوات ضرب می گردد.</w:t>
      </w:r>
    </w:p>
    <w:p w:rsidR="006C399F" w:rsidRPr="00AA609B" w:rsidRDefault="006C399F" w:rsidP="00166061">
      <w:pPr>
        <w:ind w:left="429"/>
        <w:rPr>
          <w:sz w:val="28"/>
          <w:szCs w:val="28"/>
          <w:rtl/>
          <w:lang w:bidi="fa-IR"/>
        </w:rPr>
      </w:pPr>
      <w:r w:rsidRPr="00AA609B">
        <w:rPr>
          <w:rFonts w:hint="cs"/>
          <w:sz w:val="28"/>
          <w:szCs w:val="28"/>
          <w:rtl/>
          <w:lang w:bidi="fa-IR"/>
        </w:rPr>
        <w:t xml:space="preserve">بند </w:t>
      </w:r>
      <w:r w:rsidR="00166061">
        <w:rPr>
          <w:rFonts w:hint="cs"/>
          <w:sz w:val="28"/>
          <w:szCs w:val="28"/>
          <w:rtl/>
          <w:lang w:bidi="fa-IR"/>
        </w:rPr>
        <w:t>2</w:t>
      </w:r>
      <w:r w:rsidRPr="00AA609B">
        <w:rPr>
          <w:rFonts w:hint="cs"/>
          <w:sz w:val="28"/>
          <w:szCs w:val="28"/>
          <w:rtl/>
          <w:lang w:bidi="fa-IR"/>
        </w:rPr>
        <w:t>: سقف مجموع حق الزحمه های سایر مجریان و همکاران معادل نصف حق الزحمه مجری اول می باشد.</w:t>
      </w:r>
    </w:p>
    <w:p w:rsidR="00FE2E2B" w:rsidRPr="00AA609B" w:rsidRDefault="00FE2E2B" w:rsidP="00166061">
      <w:pPr>
        <w:ind w:left="429"/>
        <w:rPr>
          <w:sz w:val="28"/>
          <w:szCs w:val="28"/>
          <w:rtl/>
          <w:lang w:bidi="fa-IR"/>
        </w:rPr>
      </w:pPr>
      <w:r w:rsidRPr="00AA609B">
        <w:rPr>
          <w:rFonts w:hint="cs"/>
          <w:sz w:val="28"/>
          <w:szCs w:val="28"/>
          <w:rtl/>
          <w:lang w:bidi="fa-IR"/>
        </w:rPr>
        <w:t>بند</w:t>
      </w:r>
      <w:r w:rsidR="00166061">
        <w:rPr>
          <w:rFonts w:hint="cs"/>
          <w:sz w:val="28"/>
          <w:szCs w:val="28"/>
          <w:rtl/>
          <w:lang w:bidi="fa-IR"/>
        </w:rPr>
        <w:t>3</w:t>
      </w:r>
      <w:r w:rsidRPr="00AA609B">
        <w:rPr>
          <w:rFonts w:hint="cs"/>
          <w:sz w:val="28"/>
          <w:szCs w:val="28"/>
          <w:rtl/>
          <w:lang w:bidi="fa-IR"/>
        </w:rPr>
        <w:t>: مدت ساعت مشاوره متدولوژی و آماری طرح های تحقیقاتی، بجز کارآزمایی های بالینی، تا حداکثر 20 ساعت و در کارآزمایی‌های بالینی تصادفی شده دوسو کور براساس نحوه اجرا و حجم نمونه تا 40 ساعت محاسبه خواهد شد.</w:t>
      </w:r>
    </w:p>
    <w:p w:rsidR="00FE2E2B" w:rsidRPr="00AA609B" w:rsidRDefault="00FE2E2B" w:rsidP="00166061">
      <w:pPr>
        <w:ind w:left="429"/>
        <w:rPr>
          <w:sz w:val="28"/>
          <w:szCs w:val="28"/>
          <w:rtl/>
          <w:lang w:bidi="fa-IR"/>
        </w:rPr>
      </w:pPr>
      <w:r w:rsidRPr="00AA609B">
        <w:rPr>
          <w:rFonts w:hint="cs"/>
          <w:sz w:val="28"/>
          <w:szCs w:val="28"/>
          <w:rtl/>
          <w:lang w:bidi="fa-IR"/>
        </w:rPr>
        <w:lastRenderedPageBreak/>
        <w:t>بند</w:t>
      </w:r>
      <w:r w:rsidR="00166061">
        <w:rPr>
          <w:rFonts w:hint="cs"/>
          <w:sz w:val="28"/>
          <w:szCs w:val="28"/>
          <w:rtl/>
          <w:lang w:bidi="fa-IR"/>
        </w:rPr>
        <w:t>4</w:t>
      </w:r>
      <w:r w:rsidRPr="00AA609B">
        <w:rPr>
          <w:rFonts w:hint="cs"/>
          <w:sz w:val="28"/>
          <w:szCs w:val="28"/>
          <w:rtl/>
          <w:lang w:bidi="fa-IR"/>
        </w:rPr>
        <w:t>: حق الزحمه پرسنلی بر اساس نوع فعالیت و مدت ساعت اعلام شده و  بر اساس فعالیت های ذکر شده در پروپوزال و روش اجرای تحقیق مورد ارزیابی و داوری قرار خواهد گرفت.</w:t>
      </w:r>
    </w:p>
    <w:p w:rsidR="00FE2E2B" w:rsidRPr="00AA609B" w:rsidRDefault="00FE2E2B" w:rsidP="00166061">
      <w:pPr>
        <w:ind w:left="429"/>
        <w:rPr>
          <w:sz w:val="28"/>
          <w:szCs w:val="28"/>
          <w:rtl/>
          <w:lang w:bidi="fa-IR"/>
        </w:rPr>
      </w:pPr>
      <w:r w:rsidRPr="00AA609B">
        <w:rPr>
          <w:rFonts w:hint="cs"/>
          <w:sz w:val="28"/>
          <w:szCs w:val="28"/>
          <w:rtl/>
          <w:lang w:bidi="fa-IR"/>
        </w:rPr>
        <w:t>بند</w:t>
      </w:r>
      <w:r w:rsidR="00166061">
        <w:rPr>
          <w:rFonts w:hint="cs"/>
          <w:sz w:val="28"/>
          <w:szCs w:val="28"/>
          <w:rtl/>
          <w:lang w:bidi="fa-IR"/>
        </w:rPr>
        <w:t>5</w:t>
      </w:r>
      <w:r w:rsidRPr="00AA609B">
        <w:rPr>
          <w:rFonts w:hint="cs"/>
          <w:sz w:val="28"/>
          <w:szCs w:val="28"/>
          <w:rtl/>
          <w:lang w:bidi="fa-IR"/>
        </w:rPr>
        <w:t>: زمان ورود اطلاعات به رایانه تا سقف 30 ساعات و توسط کارشناس لحاظ می گردد.</w:t>
      </w:r>
    </w:p>
    <w:p w:rsidR="00FE2E2B" w:rsidRPr="00AA609B" w:rsidRDefault="00FE2E2B" w:rsidP="00111D08">
      <w:pPr>
        <w:ind w:left="429"/>
        <w:rPr>
          <w:sz w:val="28"/>
          <w:szCs w:val="28"/>
          <w:rtl/>
          <w:lang w:bidi="fa-IR"/>
        </w:rPr>
      </w:pPr>
    </w:p>
    <w:p w:rsidR="00FE2E2B" w:rsidRPr="00AA609B" w:rsidRDefault="00FE2E2B" w:rsidP="00111D08">
      <w:pPr>
        <w:ind w:left="429"/>
        <w:rPr>
          <w:sz w:val="28"/>
          <w:szCs w:val="28"/>
          <w:rtl/>
          <w:lang w:bidi="fa-IR"/>
        </w:rPr>
      </w:pPr>
    </w:p>
    <w:p w:rsidR="00FE2E2B" w:rsidRPr="00AA609B" w:rsidRDefault="00FE2E2B" w:rsidP="00111D08">
      <w:pPr>
        <w:ind w:left="429"/>
        <w:rPr>
          <w:sz w:val="28"/>
          <w:szCs w:val="28"/>
          <w:rtl/>
          <w:lang w:bidi="fa-IR"/>
        </w:rPr>
      </w:pPr>
      <w:r w:rsidRPr="00AA609B">
        <w:rPr>
          <w:rFonts w:hint="cs"/>
          <w:sz w:val="28"/>
          <w:szCs w:val="28"/>
          <w:lang w:bidi="fa-IR"/>
        </w:rPr>
        <w:sym w:font="Wingdings" w:char="F0D7"/>
      </w:r>
      <w:r w:rsidRPr="00AA609B">
        <w:rPr>
          <w:rFonts w:hint="cs"/>
          <w:sz w:val="28"/>
          <w:szCs w:val="28"/>
          <w:rtl/>
          <w:lang w:bidi="fa-IR"/>
        </w:rPr>
        <w:t xml:space="preserve"> نحوه پرداخت حق الزحمه پرسنلی بر عهده مجری طرف قرارداد طرح تحقیقاتی و بر اساس پروپوزال مصوب بوده و معاونت پژوهشی دانش</w:t>
      </w:r>
      <w:r w:rsidR="006F08D4" w:rsidRPr="00AA609B">
        <w:rPr>
          <w:rFonts w:hint="cs"/>
          <w:sz w:val="28"/>
          <w:szCs w:val="28"/>
          <w:rtl/>
          <w:lang w:bidi="fa-IR"/>
        </w:rPr>
        <w:t>کد</w:t>
      </w:r>
      <w:r w:rsidRPr="00AA609B">
        <w:rPr>
          <w:rFonts w:hint="cs"/>
          <w:sz w:val="28"/>
          <w:szCs w:val="28"/>
          <w:rtl/>
          <w:lang w:bidi="fa-IR"/>
        </w:rPr>
        <w:t>ه هیچگونه مسئولیتی در قبال نحوه پرداخت‌های مذکور ندارد.</w:t>
      </w:r>
    </w:p>
    <w:p w:rsidR="00FE2E2B" w:rsidRPr="00AA609B" w:rsidRDefault="00FE2E2B" w:rsidP="00111D08">
      <w:pPr>
        <w:ind w:left="429"/>
        <w:rPr>
          <w:sz w:val="28"/>
          <w:szCs w:val="28"/>
          <w:rtl/>
          <w:lang w:bidi="fa-IR"/>
        </w:rPr>
      </w:pPr>
    </w:p>
    <w:p w:rsidR="006F08D4" w:rsidRDefault="00FE2E2B" w:rsidP="00166061">
      <w:pPr>
        <w:ind w:left="429"/>
        <w:rPr>
          <w:sz w:val="28"/>
          <w:szCs w:val="28"/>
          <w:rtl/>
          <w:lang w:bidi="fa-IR"/>
        </w:rPr>
      </w:pPr>
      <w:r w:rsidRPr="00AA609B">
        <w:rPr>
          <w:rFonts w:hint="cs"/>
          <w:sz w:val="28"/>
          <w:szCs w:val="28"/>
          <w:lang w:bidi="fa-IR"/>
        </w:rPr>
        <w:sym w:font="Wingdings" w:char="F0D7"/>
      </w:r>
      <w:r w:rsidRPr="00AA609B">
        <w:rPr>
          <w:rFonts w:hint="cs"/>
          <w:sz w:val="28"/>
          <w:szCs w:val="28"/>
          <w:rtl/>
          <w:lang w:bidi="fa-IR"/>
        </w:rPr>
        <w:t xml:space="preserve"> حق‌الزحمه ساعتي اعضاء هيأت علمي </w:t>
      </w:r>
      <w:r w:rsidR="006F08D4" w:rsidRPr="00AA609B">
        <w:rPr>
          <w:rFonts w:hint="cs"/>
          <w:sz w:val="28"/>
          <w:szCs w:val="28"/>
          <w:rtl/>
          <w:lang w:bidi="fa-IR"/>
        </w:rPr>
        <w:t>یک ش</w:t>
      </w:r>
      <w:r w:rsidR="006C399F" w:rsidRPr="00AA609B">
        <w:rPr>
          <w:rFonts w:hint="cs"/>
          <w:sz w:val="28"/>
          <w:szCs w:val="28"/>
          <w:rtl/>
          <w:lang w:bidi="fa-IR"/>
        </w:rPr>
        <w:t>ص</w:t>
      </w:r>
      <w:r w:rsidR="006F08D4" w:rsidRPr="00AA609B">
        <w:rPr>
          <w:rFonts w:hint="cs"/>
          <w:sz w:val="28"/>
          <w:szCs w:val="28"/>
          <w:rtl/>
          <w:lang w:bidi="fa-IR"/>
        </w:rPr>
        <w:t>ت</w:t>
      </w:r>
      <w:r w:rsidR="006C399F" w:rsidRPr="00AA609B">
        <w:rPr>
          <w:rFonts w:hint="cs"/>
          <w:sz w:val="28"/>
          <w:szCs w:val="28"/>
          <w:rtl/>
          <w:lang w:bidi="fa-IR"/>
        </w:rPr>
        <w:t>م</w:t>
      </w:r>
      <w:r w:rsidR="006F08D4" w:rsidRPr="00AA609B">
        <w:rPr>
          <w:rFonts w:hint="cs"/>
          <w:sz w:val="28"/>
          <w:szCs w:val="28"/>
          <w:rtl/>
          <w:lang w:bidi="fa-IR"/>
        </w:rPr>
        <w:t xml:space="preserve"> دو بند اول حکم کارگزینی</w:t>
      </w:r>
      <w:r w:rsidRPr="00AA609B">
        <w:rPr>
          <w:rFonts w:hint="cs"/>
          <w:sz w:val="28"/>
          <w:szCs w:val="28"/>
          <w:rtl/>
          <w:lang w:bidi="fa-IR"/>
        </w:rPr>
        <w:t xml:space="preserve"> و براي اعضاء غير هيأت علمي با درجات علمي دكتراي تخصصي و </w:t>
      </w:r>
      <w:proofErr w:type="spellStart"/>
      <w:r w:rsidRPr="00AA609B">
        <w:rPr>
          <w:sz w:val="28"/>
          <w:szCs w:val="28"/>
          <w:lang w:bidi="fa-IR"/>
        </w:rPr>
        <w:t>Ph.D</w:t>
      </w:r>
      <w:proofErr w:type="spellEnd"/>
      <w:r w:rsidR="00166061">
        <w:rPr>
          <w:rFonts w:hint="cs"/>
          <w:sz w:val="28"/>
          <w:szCs w:val="28"/>
          <w:rtl/>
          <w:lang w:bidi="fa-IR"/>
        </w:rPr>
        <w:t xml:space="preserve">  000/100 ریال و </w:t>
      </w:r>
      <w:r w:rsidRPr="00AA609B">
        <w:rPr>
          <w:rFonts w:hint="cs"/>
          <w:sz w:val="28"/>
          <w:szCs w:val="28"/>
          <w:rtl/>
          <w:lang w:bidi="fa-IR"/>
        </w:rPr>
        <w:t>دكتراي عمومي، كارشناسي ارشد</w:t>
      </w:r>
      <w:r w:rsidR="00166061">
        <w:rPr>
          <w:rFonts w:hint="cs"/>
          <w:sz w:val="28"/>
          <w:szCs w:val="28"/>
          <w:rtl/>
          <w:lang w:bidi="fa-IR"/>
        </w:rPr>
        <w:t xml:space="preserve"> 000/600 ریال و</w:t>
      </w:r>
      <w:r w:rsidRPr="00AA609B">
        <w:rPr>
          <w:rFonts w:hint="cs"/>
          <w:sz w:val="28"/>
          <w:szCs w:val="28"/>
          <w:rtl/>
          <w:lang w:bidi="fa-IR"/>
        </w:rPr>
        <w:t>كارشناسي</w:t>
      </w:r>
      <w:r w:rsidR="00166061">
        <w:rPr>
          <w:rFonts w:hint="cs"/>
          <w:sz w:val="28"/>
          <w:szCs w:val="28"/>
          <w:rtl/>
          <w:lang w:bidi="fa-IR"/>
        </w:rPr>
        <w:t xml:space="preserve"> 000/40 ریال و </w:t>
      </w:r>
      <w:r w:rsidRPr="00AA609B">
        <w:rPr>
          <w:rFonts w:hint="cs"/>
          <w:sz w:val="28"/>
          <w:szCs w:val="28"/>
          <w:rtl/>
          <w:lang w:bidi="fa-IR"/>
        </w:rPr>
        <w:t xml:space="preserve"> كارداني، ديپلم و زير ديپلم </w:t>
      </w:r>
      <w:r w:rsidR="00166061">
        <w:rPr>
          <w:rFonts w:hint="cs"/>
          <w:sz w:val="28"/>
          <w:szCs w:val="28"/>
          <w:rtl/>
          <w:lang w:bidi="fa-IR"/>
        </w:rPr>
        <w:t>000/30</w:t>
      </w:r>
      <w:r w:rsidRPr="00AA609B">
        <w:rPr>
          <w:rFonts w:hint="cs"/>
          <w:sz w:val="28"/>
          <w:szCs w:val="28"/>
          <w:rtl/>
          <w:lang w:bidi="fa-IR"/>
        </w:rPr>
        <w:t xml:space="preserve"> ريال مي‌باشد.</w:t>
      </w:r>
    </w:p>
    <w:p w:rsidR="00AA609B" w:rsidRPr="00AA609B" w:rsidRDefault="00AA609B" w:rsidP="00AA609B">
      <w:pPr>
        <w:ind w:left="429"/>
        <w:rPr>
          <w:sz w:val="28"/>
          <w:szCs w:val="28"/>
          <w:rtl/>
          <w:lang w:bidi="fa-IR"/>
        </w:rPr>
      </w:pPr>
    </w:p>
    <w:p w:rsidR="00FE2E2B" w:rsidRDefault="00FE2E2B" w:rsidP="00111D08">
      <w:pPr>
        <w:ind w:left="429"/>
        <w:rPr>
          <w:rFonts w:cs="B Titr"/>
          <w:sz w:val="24"/>
          <w:szCs w:val="24"/>
          <w:rtl/>
          <w:lang w:bidi="fa-IR"/>
        </w:rPr>
      </w:pPr>
      <w:r w:rsidRPr="00AA609B">
        <w:rPr>
          <w:rFonts w:cs="B Titr" w:hint="cs"/>
          <w:sz w:val="24"/>
          <w:szCs w:val="24"/>
          <w:rtl/>
        </w:rPr>
        <w:t xml:space="preserve">ب) هزینه </w:t>
      </w:r>
      <w:r w:rsidRPr="00AA609B">
        <w:rPr>
          <w:rFonts w:cs="B Titr" w:hint="cs"/>
          <w:sz w:val="24"/>
          <w:szCs w:val="24"/>
          <w:rtl/>
          <w:lang w:bidi="fa-IR"/>
        </w:rPr>
        <w:t>آزمایشات و خدمات تخصصی</w:t>
      </w:r>
    </w:p>
    <w:p w:rsidR="00AA609B" w:rsidRPr="00AA609B" w:rsidRDefault="00AA609B" w:rsidP="00111D08">
      <w:pPr>
        <w:ind w:left="429"/>
        <w:rPr>
          <w:rFonts w:cs="B Titr"/>
          <w:sz w:val="24"/>
          <w:szCs w:val="24"/>
          <w:rtl/>
          <w:lang w:bidi="fa-IR"/>
        </w:rPr>
      </w:pPr>
    </w:p>
    <w:p w:rsidR="00FE2E2B" w:rsidRPr="00AA609B" w:rsidRDefault="00FE2E2B" w:rsidP="00111D08">
      <w:pPr>
        <w:ind w:left="429"/>
        <w:rPr>
          <w:sz w:val="28"/>
          <w:szCs w:val="28"/>
          <w:rtl/>
          <w:lang w:bidi="fa-IR"/>
        </w:rPr>
      </w:pPr>
      <w:r w:rsidRPr="00AA609B">
        <w:rPr>
          <w:rFonts w:hint="cs"/>
          <w:sz w:val="28"/>
          <w:szCs w:val="28"/>
          <w:lang w:bidi="fa-IR"/>
        </w:rPr>
        <w:sym w:font="Wingdings" w:char="F0D7"/>
      </w:r>
      <w:r w:rsidRPr="00AA609B">
        <w:rPr>
          <w:rFonts w:hint="cs"/>
          <w:sz w:val="28"/>
          <w:szCs w:val="28"/>
          <w:rtl/>
          <w:lang w:bidi="fa-IR"/>
        </w:rPr>
        <w:t xml:space="preserve"> درخواست هزینه آزمايشات و خدمات تخصصی، باید همراه با ذکر موضوع آزمایش یا خدمت، نام مرکز سرویس دهنده، تعداد دفعات و هزینه هر دفعه اعلام گردند.</w:t>
      </w:r>
    </w:p>
    <w:p w:rsidR="00FE2E2B" w:rsidRPr="00AA609B" w:rsidRDefault="00FE2E2B" w:rsidP="00111D08">
      <w:pPr>
        <w:ind w:left="429"/>
        <w:rPr>
          <w:sz w:val="28"/>
          <w:szCs w:val="28"/>
          <w:rtl/>
          <w:lang w:bidi="fa-IR"/>
        </w:rPr>
      </w:pPr>
      <w:r w:rsidRPr="00AA609B">
        <w:rPr>
          <w:rFonts w:hint="cs"/>
          <w:sz w:val="28"/>
          <w:szCs w:val="28"/>
          <w:rtl/>
          <w:lang w:bidi="fa-IR"/>
        </w:rPr>
        <w:t xml:space="preserve">بند1: ارائه پیش‌فاکتور از مراکز دانشگاهی ضروری </w:t>
      </w:r>
      <w:r w:rsidR="006F08D4" w:rsidRPr="00AA609B">
        <w:rPr>
          <w:rFonts w:hint="cs"/>
          <w:sz w:val="28"/>
          <w:szCs w:val="28"/>
          <w:rtl/>
          <w:lang w:bidi="fa-IR"/>
        </w:rPr>
        <w:t>ن</w:t>
      </w:r>
      <w:r w:rsidRPr="00AA609B">
        <w:rPr>
          <w:rFonts w:hint="cs"/>
          <w:sz w:val="28"/>
          <w:szCs w:val="28"/>
          <w:rtl/>
          <w:lang w:bidi="fa-IR"/>
        </w:rPr>
        <w:t>می باشد</w:t>
      </w:r>
      <w:r w:rsidR="00CC0C01" w:rsidRPr="00AA609B">
        <w:rPr>
          <w:rFonts w:hint="cs"/>
          <w:sz w:val="28"/>
          <w:szCs w:val="28"/>
          <w:rtl/>
          <w:lang w:bidi="fa-IR"/>
        </w:rPr>
        <w:t xml:space="preserve"> و تأییدیه آن مرکز کافی می باشد</w:t>
      </w:r>
      <w:r w:rsidRPr="00AA609B">
        <w:rPr>
          <w:rFonts w:hint="cs"/>
          <w:sz w:val="28"/>
          <w:szCs w:val="28"/>
          <w:rtl/>
          <w:lang w:bidi="fa-IR"/>
        </w:rPr>
        <w:t xml:space="preserve">. </w:t>
      </w:r>
    </w:p>
    <w:p w:rsidR="00FE2E2B" w:rsidRPr="00AA609B" w:rsidRDefault="00FE2E2B" w:rsidP="00111D08">
      <w:pPr>
        <w:ind w:left="429"/>
        <w:rPr>
          <w:sz w:val="28"/>
          <w:szCs w:val="28"/>
          <w:rtl/>
          <w:lang w:bidi="fa-IR"/>
        </w:rPr>
      </w:pPr>
      <w:r w:rsidRPr="00AA609B">
        <w:rPr>
          <w:rFonts w:hint="cs"/>
          <w:sz w:val="28"/>
          <w:szCs w:val="28"/>
          <w:rtl/>
          <w:lang w:bidi="fa-IR"/>
        </w:rPr>
        <w:t xml:space="preserve">بند2: درصورتی که انجام آزمایشات یا خدمات تخصصی در مراکز دانشگاهی مقدور نباشد، ارائه پیش‌فاکتور از مرکز سرویس دهنده خارج دانشگاهی، قبل از تصویب طرح تحقیقاتی ضروری است. </w:t>
      </w:r>
    </w:p>
    <w:p w:rsidR="00FE2E2B" w:rsidRPr="00AA609B" w:rsidRDefault="00FE2E2B" w:rsidP="00111D08">
      <w:pPr>
        <w:ind w:left="429"/>
        <w:rPr>
          <w:sz w:val="28"/>
          <w:szCs w:val="28"/>
          <w:rtl/>
          <w:lang w:bidi="fa-IR"/>
        </w:rPr>
      </w:pPr>
    </w:p>
    <w:p w:rsidR="00FE2E2B" w:rsidRDefault="00FE2E2B" w:rsidP="00111D08">
      <w:pPr>
        <w:ind w:left="429"/>
        <w:rPr>
          <w:rFonts w:cs="B Titr"/>
          <w:sz w:val="24"/>
          <w:szCs w:val="24"/>
          <w:rtl/>
          <w:lang w:bidi="fa-IR"/>
        </w:rPr>
      </w:pPr>
      <w:r w:rsidRPr="00AA609B">
        <w:rPr>
          <w:rFonts w:cs="B Titr" w:hint="cs"/>
          <w:sz w:val="24"/>
          <w:szCs w:val="24"/>
          <w:rtl/>
        </w:rPr>
        <w:t xml:space="preserve">ج) هزینه </w:t>
      </w:r>
      <w:r w:rsidRPr="00AA609B">
        <w:rPr>
          <w:rFonts w:cs="B Titr" w:hint="cs"/>
          <w:sz w:val="24"/>
          <w:szCs w:val="24"/>
          <w:rtl/>
          <w:lang w:bidi="fa-IR"/>
        </w:rPr>
        <w:t>خرید وسایل و مواد مصرفی و غیر مصرفی</w:t>
      </w:r>
    </w:p>
    <w:p w:rsidR="00AA609B" w:rsidRPr="00AA609B" w:rsidRDefault="00AA609B" w:rsidP="00111D08">
      <w:pPr>
        <w:ind w:left="429"/>
        <w:rPr>
          <w:rFonts w:cs="B Titr"/>
          <w:sz w:val="24"/>
          <w:szCs w:val="24"/>
          <w:rtl/>
          <w:lang w:bidi="fa-IR"/>
        </w:rPr>
      </w:pPr>
    </w:p>
    <w:p w:rsidR="00FE2E2B" w:rsidRPr="00AA609B" w:rsidRDefault="00FE2E2B" w:rsidP="00111D08">
      <w:pPr>
        <w:ind w:left="429"/>
        <w:rPr>
          <w:sz w:val="28"/>
          <w:szCs w:val="28"/>
          <w:rtl/>
          <w:lang w:bidi="fa-IR"/>
        </w:rPr>
      </w:pPr>
      <w:r w:rsidRPr="00AA609B">
        <w:rPr>
          <w:rFonts w:hint="cs"/>
          <w:sz w:val="28"/>
          <w:szCs w:val="28"/>
          <w:lang w:bidi="fa-IR"/>
        </w:rPr>
        <w:sym w:font="Wingdings" w:char="F0D7"/>
      </w:r>
      <w:r w:rsidRPr="00AA609B">
        <w:rPr>
          <w:rFonts w:hint="cs"/>
          <w:sz w:val="28"/>
          <w:szCs w:val="28"/>
          <w:rtl/>
          <w:lang w:bidi="fa-IR"/>
        </w:rPr>
        <w:t xml:space="preserve"> درخواست هزینه مواد غیر مصرفی و مصرفی شامل کیت ها، همراه با پیش فاکتور هزینه ها قبل از تصویب طرح تحقیقاتی ارائه گردد. </w:t>
      </w:r>
    </w:p>
    <w:p w:rsidR="00FE2E2B" w:rsidRPr="00AA609B" w:rsidRDefault="00FE2E2B" w:rsidP="00111D08">
      <w:pPr>
        <w:ind w:left="429"/>
        <w:rPr>
          <w:sz w:val="28"/>
          <w:szCs w:val="28"/>
          <w:rtl/>
          <w:lang w:bidi="fa-IR"/>
        </w:rPr>
      </w:pPr>
      <w:r w:rsidRPr="00AA609B">
        <w:rPr>
          <w:rFonts w:hint="cs"/>
          <w:sz w:val="28"/>
          <w:szCs w:val="28"/>
          <w:rtl/>
          <w:lang w:bidi="fa-IR"/>
        </w:rPr>
        <w:t>بند1: در درخواست هزینه خرید مواد غیر مصرفی و مصرفی ضمن پرهیز از بیان عبارات کلی و غیر قابل سنجش، باید نام مواد مورد نیاز به تفکیک، همراه با ذکر جزئیات شامل شرکت سازنده، فروشنده، تعداد مورد نیاز و قیمت هر واحد مشخص شده باشد.</w:t>
      </w:r>
    </w:p>
    <w:p w:rsidR="00FE2E2B" w:rsidRPr="00AA609B" w:rsidRDefault="00FE2E2B" w:rsidP="00111D08">
      <w:pPr>
        <w:ind w:left="429"/>
        <w:rPr>
          <w:sz w:val="28"/>
          <w:szCs w:val="28"/>
          <w:lang w:bidi="fa-IR"/>
        </w:rPr>
      </w:pPr>
      <w:r w:rsidRPr="00AA609B">
        <w:rPr>
          <w:rFonts w:hint="cs"/>
          <w:sz w:val="28"/>
          <w:szCs w:val="28"/>
          <w:rtl/>
          <w:lang w:bidi="fa-IR"/>
        </w:rPr>
        <w:t>بند2: در زمان ارائه گزارش پیشرفت ، ارائه فاکتورهای خرید و رسید پلاک اموال غیرمصرفی در محل انجام طرح ضروری است.</w:t>
      </w:r>
    </w:p>
    <w:p w:rsidR="00FE2E2B" w:rsidRPr="00AA609B" w:rsidRDefault="00FE2E2B" w:rsidP="00AA609B">
      <w:pPr>
        <w:ind w:left="429"/>
        <w:rPr>
          <w:sz w:val="28"/>
          <w:szCs w:val="28"/>
          <w:rtl/>
          <w:lang w:bidi="fa-IR"/>
        </w:rPr>
      </w:pPr>
      <w:r w:rsidRPr="00AA609B">
        <w:rPr>
          <w:rFonts w:hint="cs"/>
          <w:sz w:val="28"/>
          <w:szCs w:val="28"/>
          <w:rtl/>
          <w:lang w:bidi="fa-IR"/>
        </w:rPr>
        <w:lastRenderedPageBreak/>
        <w:t>بند3: درخواست خرید اموال غیرمصرفی که فقدان آن ها خللی در اجرای طرح تحقیقاتی ایجاد نمی‌نمایند و یا در محیط پژوهش وجود دارند، مثل رایانه، دوربین عکاسی، میکروسکوپ و غیره، تنها به شرط تایید معاون محترم پژوهشی دانش</w:t>
      </w:r>
      <w:r w:rsidR="00CC0C01" w:rsidRPr="00AA609B">
        <w:rPr>
          <w:rFonts w:hint="cs"/>
          <w:sz w:val="28"/>
          <w:szCs w:val="28"/>
          <w:rtl/>
          <w:lang w:bidi="fa-IR"/>
        </w:rPr>
        <w:t>کده</w:t>
      </w:r>
      <w:r w:rsidRPr="00AA609B">
        <w:rPr>
          <w:rFonts w:hint="cs"/>
          <w:sz w:val="28"/>
          <w:szCs w:val="28"/>
          <w:rtl/>
          <w:lang w:bidi="fa-IR"/>
        </w:rPr>
        <w:t xml:space="preserve"> مبنی بر مجوز خرید آن اقلام، مورد تایید قرار خواهند گرفت.</w:t>
      </w:r>
    </w:p>
    <w:p w:rsidR="00FE2E2B" w:rsidRDefault="00FE2E2B" w:rsidP="00111D08">
      <w:pPr>
        <w:ind w:left="429"/>
        <w:rPr>
          <w:rFonts w:cs="B Titr"/>
          <w:sz w:val="24"/>
          <w:szCs w:val="24"/>
          <w:rtl/>
        </w:rPr>
      </w:pPr>
      <w:r w:rsidRPr="00AA609B">
        <w:rPr>
          <w:rFonts w:cs="B Titr" w:hint="cs"/>
          <w:sz w:val="24"/>
          <w:szCs w:val="24"/>
          <w:rtl/>
        </w:rPr>
        <w:t>د) هزینه‌های دیگر</w:t>
      </w:r>
    </w:p>
    <w:p w:rsidR="00AA609B" w:rsidRPr="00AA609B" w:rsidRDefault="00AA609B" w:rsidP="00111D08">
      <w:pPr>
        <w:ind w:left="429"/>
        <w:rPr>
          <w:rFonts w:cs="B Titr"/>
          <w:sz w:val="24"/>
          <w:szCs w:val="24"/>
          <w:rtl/>
          <w:lang w:bidi="fa-IR"/>
        </w:rPr>
      </w:pPr>
    </w:p>
    <w:p w:rsidR="00FE2E2B" w:rsidRPr="00AA609B" w:rsidRDefault="00FE2E2B" w:rsidP="00111D08">
      <w:pPr>
        <w:ind w:left="429"/>
        <w:rPr>
          <w:sz w:val="28"/>
          <w:szCs w:val="28"/>
          <w:rtl/>
          <w:lang w:bidi="fa-IR"/>
        </w:rPr>
      </w:pPr>
      <w:r w:rsidRPr="00AA609B">
        <w:rPr>
          <w:rFonts w:hint="cs"/>
          <w:sz w:val="28"/>
          <w:szCs w:val="28"/>
          <w:lang w:bidi="fa-IR"/>
        </w:rPr>
        <w:sym w:font="Wingdings" w:char="F0D7"/>
      </w:r>
      <w:r w:rsidRPr="00AA609B">
        <w:rPr>
          <w:rFonts w:hint="cs"/>
          <w:sz w:val="28"/>
          <w:szCs w:val="28"/>
          <w:rtl/>
          <w:lang w:bidi="fa-IR"/>
        </w:rPr>
        <w:t xml:space="preserve"> درخواست هزینه‌های مسافرت، برگزاری کارگاه توجیهی، تهیه هدایا و سایر مواردی که در بندهای سه‌گانه (پرسنلی، آزمایشات و خدمات تخصصی، خرید وسایل و تجهیزات) نمی‌گنجند، توسط کمیته </w:t>
      </w:r>
      <w:r w:rsidR="00CC0C01" w:rsidRPr="00AA609B">
        <w:rPr>
          <w:rFonts w:hint="cs"/>
          <w:sz w:val="28"/>
          <w:szCs w:val="28"/>
          <w:rtl/>
          <w:lang w:bidi="fa-IR"/>
        </w:rPr>
        <w:t>مالی پژوهش</w:t>
      </w:r>
      <w:r w:rsidRPr="00AA609B">
        <w:rPr>
          <w:rFonts w:hint="cs"/>
          <w:sz w:val="28"/>
          <w:szCs w:val="28"/>
          <w:rtl/>
          <w:lang w:bidi="fa-IR"/>
        </w:rPr>
        <w:t xml:space="preserve"> طرح </w:t>
      </w:r>
      <w:r w:rsidR="00CC0C01" w:rsidRPr="00AA609B">
        <w:rPr>
          <w:rFonts w:hint="cs"/>
          <w:sz w:val="28"/>
          <w:szCs w:val="28"/>
          <w:rtl/>
          <w:lang w:bidi="fa-IR"/>
        </w:rPr>
        <w:t>دانشکده</w:t>
      </w:r>
      <w:r w:rsidRPr="00AA609B">
        <w:rPr>
          <w:rFonts w:hint="cs"/>
          <w:sz w:val="28"/>
          <w:szCs w:val="28"/>
          <w:rtl/>
          <w:lang w:bidi="fa-IR"/>
        </w:rPr>
        <w:t xml:space="preserve"> مورد ارزیابی قرار خواهند گرفت. ارائه فاکتور هزینه‌کرد در زمان ارائه گزارش پیشرفت ضروری است.</w:t>
      </w:r>
    </w:p>
    <w:p w:rsidR="00FE2E2B" w:rsidRPr="00AA609B" w:rsidRDefault="00FE2E2B" w:rsidP="00111D08">
      <w:pPr>
        <w:ind w:left="429"/>
        <w:rPr>
          <w:sz w:val="28"/>
          <w:szCs w:val="28"/>
          <w:rtl/>
          <w:lang w:bidi="fa-IR"/>
        </w:rPr>
      </w:pPr>
    </w:p>
    <w:p w:rsidR="0007651D" w:rsidRPr="00AA609B" w:rsidRDefault="00FE2E2B" w:rsidP="0007651D">
      <w:pPr>
        <w:ind w:left="429"/>
        <w:rPr>
          <w:sz w:val="28"/>
          <w:szCs w:val="28"/>
          <w:rtl/>
          <w:lang w:bidi="fa-IR"/>
        </w:rPr>
      </w:pPr>
      <w:r w:rsidRPr="00AA609B">
        <w:rPr>
          <w:rFonts w:hint="cs"/>
          <w:sz w:val="28"/>
          <w:szCs w:val="28"/>
          <w:lang w:bidi="fa-IR"/>
        </w:rPr>
        <w:sym w:font="Wingdings" w:char="F0D7"/>
      </w:r>
      <w:r w:rsidRPr="00AA609B">
        <w:rPr>
          <w:rFonts w:hint="cs"/>
          <w:sz w:val="28"/>
          <w:szCs w:val="28"/>
          <w:rtl/>
          <w:lang w:bidi="fa-IR"/>
        </w:rPr>
        <w:t xml:space="preserve"> درخواست افزايش هزينه وسایل و مواد مصرفی و غیر مصرفی یا آزمایشات و خدمات تخصصی باید همراه با مستندات آن پس از تأیید </w:t>
      </w:r>
      <w:r w:rsidR="00CC0C01" w:rsidRPr="00AA609B">
        <w:rPr>
          <w:rFonts w:hint="cs"/>
          <w:sz w:val="28"/>
          <w:szCs w:val="28"/>
          <w:rtl/>
          <w:lang w:bidi="fa-IR"/>
        </w:rPr>
        <w:t xml:space="preserve">کمیته مالی پژوهش </w:t>
      </w:r>
      <w:r w:rsidRPr="00AA609B">
        <w:rPr>
          <w:rFonts w:hint="cs"/>
          <w:sz w:val="28"/>
          <w:szCs w:val="28"/>
          <w:rtl/>
          <w:lang w:bidi="fa-IR"/>
        </w:rPr>
        <w:t>به معاونت پژوهشي دانشگاه ارائه گردند. شورای پژوهشی دانش</w:t>
      </w:r>
      <w:r w:rsidR="006E3259" w:rsidRPr="00AA609B">
        <w:rPr>
          <w:rFonts w:hint="cs"/>
          <w:sz w:val="28"/>
          <w:szCs w:val="28"/>
          <w:rtl/>
          <w:lang w:bidi="fa-IR"/>
        </w:rPr>
        <w:t>کد</w:t>
      </w:r>
      <w:r w:rsidRPr="00AA609B">
        <w:rPr>
          <w:rFonts w:hint="cs"/>
          <w:sz w:val="28"/>
          <w:szCs w:val="28"/>
          <w:rtl/>
          <w:lang w:bidi="fa-IR"/>
        </w:rPr>
        <w:t xml:space="preserve">ه پس از اخذ نظر </w:t>
      </w:r>
      <w:r w:rsidR="006E3259" w:rsidRPr="00AA609B">
        <w:rPr>
          <w:rFonts w:hint="cs"/>
          <w:sz w:val="28"/>
          <w:szCs w:val="28"/>
          <w:rtl/>
          <w:lang w:bidi="fa-IR"/>
        </w:rPr>
        <w:t xml:space="preserve">کمیته مالی پژوهش </w:t>
      </w:r>
      <w:r w:rsidRPr="00AA609B">
        <w:rPr>
          <w:rFonts w:hint="cs"/>
          <w:sz w:val="28"/>
          <w:szCs w:val="28"/>
          <w:rtl/>
          <w:lang w:bidi="fa-IR"/>
        </w:rPr>
        <w:t>نسبت به افزایش یا عدم افزایش هزینه درخواست شده اعلام نظر خواهد نمود.</w:t>
      </w:r>
    </w:p>
    <w:p w:rsidR="00FE2E2B" w:rsidRPr="00AA609B" w:rsidRDefault="00FE2E2B" w:rsidP="00111D08">
      <w:pPr>
        <w:ind w:left="429"/>
        <w:rPr>
          <w:sz w:val="28"/>
          <w:szCs w:val="28"/>
          <w:rtl/>
          <w:lang w:bidi="fa-IR"/>
        </w:rPr>
      </w:pPr>
      <w:r w:rsidRPr="00AA609B">
        <w:rPr>
          <w:rFonts w:hint="cs"/>
          <w:sz w:val="28"/>
          <w:szCs w:val="28"/>
          <w:rtl/>
          <w:lang w:bidi="fa-IR"/>
        </w:rPr>
        <w:t>بند1: افزایش هزینه های طرح تحقیقاتی شامل هزینه های پرسنلی نخواهد شد.</w:t>
      </w:r>
    </w:p>
    <w:p w:rsidR="006C399F" w:rsidRDefault="006C399F" w:rsidP="00FE2E2B">
      <w:pPr>
        <w:ind w:left="429"/>
        <w:rPr>
          <w:sz w:val="28"/>
          <w:szCs w:val="28"/>
          <w:rtl/>
          <w:lang w:bidi="fa-IR"/>
        </w:rPr>
      </w:pPr>
    </w:p>
    <w:p w:rsidR="0007651D" w:rsidRDefault="0007651D" w:rsidP="0007651D">
      <w:pPr>
        <w:ind w:left="429"/>
        <w:rPr>
          <w:sz w:val="28"/>
          <w:szCs w:val="28"/>
          <w:rtl/>
          <w:lang w:bidi="fa-IR"/>
        </w:rPr>
      </w:pPr>
      <w:r w:rsidRPr="00AA609B">
        <w:rPr>
          <w:rFonts w:hint="cs"/>
          <w:sz w:val="28"/>
          <w:szCs w:val="28"/>
          <w:lang w:bidi="fa-IR"/>
        </w:rPr>
        <w:sym w:font="Wingdings" w:char="F0D7"/>
      </w:r>
      <w:r>
        <w:rPr>
          <w:rFonts w:hint="cs"/>
          <w:sz w:val="28"/>
          <w:szCs w:val="28"/>
          <w:rtl/>
          <w:lang w:bidi="fa-IR"/>
        </w:rPr>
        <w:t>در صورت مواجه شدن با موارد خاص نظر شورای پژوهشی ملاک عمل خواهد بود.</w:t>
      </w:r>
    </w:p>
    <w:p w:rsidR="006C399F" w:rsidRDefault="006C399F" w:rsidP="00FE2E2B">
      <w:pPr>
        <w:ind w:left="429"/>
        <w:rPr>
          <w:sz w:val="28"/>
          <w:szCs w:val="28"/>
          <w:rtl/>
          <w:lang w:bidi="fa-IR"/>
        </w:rPr>
      </w:pPr>
    </w:p>
    <w:p w:rsidR="006C399F" w:rsidRPr="00FE2E2B" w:rsidRDefault="006C399F" w:rsidP="00FE2E2B">
      <w:pPr>
        <w:ind w:left="429"/>
        <w:rPr>
          <w:sz w:val="28"/>
          <w:szCs w:val="28"/>
          <w:rtl/>
          <w:lang w:bidi="fa-IR"/>
        </w:rPr>
      </w:pPr>
    </w:p>
    <w:p w:rsidR="00FE2E2B" w:rsidRPr="00FE2E2B" w:rsidRDefault="00FE2E2B" w:rsidP="00FE2E2B">
      <w:pPr>
        <w:rPr>
          <w:sz w:val="28"/>
          <w:szCs w:val="28"/>
          <w:lang w:bidi="fa-IR"/>
        </w:rPr>
      </w:pPr>
      <w:r w:rsidRPr="00FE2E2B">
        <w:rPr>
          <w:rFonts w:hint="cs"/>
          <w:sz w:val="28"/>
          <w:szCs w:val="28"/>
          <w:rtl/>
          <w:lang w:bidi="fa-IR"/>
        </w:rPr>
        <w:t xml:space="preserve"> </w:t>
      </w:r>
    </w:p>
    <w:p w:rsidR="00FE2E2B" w:rsidRPr="003A014C" w:rsidRDefault="00FE2E2B" w:rsidP="00FE2E2B">
      <w:pPr>
        <w:rPr>
          <w:rFonts w:cs="B Lotus"/>
          <w:sz w:val="21"/>
          <w:szCs w:val="21"/>
          <w:lang w:bidi="fa-IR"/>
        </w:rPr>
      </w:pPr>
      <w:r>
        <w:rPr>
          <w:rFonts w:cs="B Lotus" w:hint="cs"/>
          <w:sz w:val="21"/>
          <w:szCs w:val="21"/>
          <w:rtl/>
          <w:lang w:bidi="fa-IR"/>
        </w:rPr>
        <w:t xml:space="preserve"> </w:t>
      </w:r>
    </w:p>
    <w:p w:rsidR="00FE2E2B" w:rsidRDefault="00FE2E2B"/>
    <w:sectPr w:rsidR="00FE2E2B" w:rsidSect="006C39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2D"/>
    <w:rsid w:val="0007651D"/>
    <w:rsid w:val="00111D08"/>
    <w:rsid w:val="00135A2D"/>
    <w:rsid w:val="00166061"/>
    <w:rsid w:val="001855E5"/>
    <w:rsid w:val="00525E7C"/>
    <w:rsid w:val="006C399F"/>
    <w:rsid w:val="006E3259"/>
    <w:rsid w:val="006F08D4"/>
    <w:rsid w:val="008A5188"/>
    <w:rsid w:val="009E1F1C"/>
    <w:rsid w:val="00AA609B"/>
    <w:rsid w:val="00B70D14"/>
    <w:rsid w:val="00CC0C01"/>
    <w:rsid w:val="00D61E13"/>
    <w:rsid w:val="00E40B25"/>
    <w:rsid w:val="00FB7369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2D"/>
    <w:pPr>
      <w:bidi/>
      <w:spacing w:after="0" w:line="240" w:lineRule="auto"/>
      <w:jc w:val="lowKashida"/>
    </w:pPr>
    <w:rPr>
      <w:rFonts w:ascii="Times New Roman" w:eastAsia="SimSun" w:hAnsi="Times New Roman" w:cs="B Nazanin"/>
      <w:color w:val="000000"/>
      <w:sz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40B25"/>
    <w:pPr>
      <w:keepNext/>
      <w:jc w:val="center"/>
      <w:outlineLvl w:val="0"/>
    </w:pPr>
    <w:rPr>
      <w:rFonts w:eastAsia="Times New Roman" w:cs="Traditional Arabic"/>
      <w:b/>
      <w:bCs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B25"/>
    <w:rPr>
      <w:rFonts w:ascii="Times New Roman" w:eastAsia="Times New Roman" w:hAnsi="Times New Roman" w:cs="Traditional Arabic"/>
      <w:b/>
      <w:bCs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E40B25"/>
    <w:pPr>
      <w:jc w:val="center"/>
    </w:pPr>
    <w:rPr>
      <w:rFonts w:eastAsia="Times New Roman" w:cs="Traditional Arabic"/>
      <w:b/>
      <w:bCs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E40B25"/>
    <w:rPr>
      <w:rFonts w:ascii="Times New Roman" w:eastAsia="Times New Roman" w:hAnsi="Times New Roman" w:cs="Traditional Arabic"/>
      <w:b/>
      <w:bCs/>
      <w:sz w:val="20"/>
      <w:szCs w:val="20"/>
      <w:lang w:eastAsia="zh-CN"/>
    </w:rPr>
  </w:style>
  <w:style w:type="paragraph" w:styleId="Subtitle">
    <w:name w:val="Subtitle"/>
    <w:basedOn w:val="Normal"/>
    <w:link w:val="SubtitleChar"/>
    <w:qFormat/>
    <w:rsid w:val="00E40B25"/>
    <w:pPr>
      <w:jc w:val="center"/>
    </w:pPr>
    <w:rPr>
      <w:rFonts w:eastAsia="Times New Roman" w:cs="Traditional Arabic"/>
      <w:b/>
      <w:bCs/>
      <w:color w:val="auto"/>
      <w:sz w:val="22"/>
      <w:szCs w:val="26"/>
    </w:rPr>
  </w:style>
  <w:style w:type="character" w:customStyle="1" w:styleId="SubtitleChar">
    <w:name w:val="Subtitle Char"/>
    <w:basedOn w:val="DefaultParagraphFont"/>
    <w:link w:val="Subtitle"/>
    <w:rsid w:val="00E40B25"/>
    <w:rPr>
      <w:rFonts w:ascii="Times New Roman" w:eastAsia="Times New Roman" w:hAnsi="Times New Roman" w:cs="Traditional Arabic"/>
      <w:b/>
      <w:bCs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25"/>
    <w:rPr>
      <w:rFonts w:ascii="Tahoma" w:eastAsia="SimSun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2D"/>
    <w:pPr>
      <w:bidi/>
      <w:spacing w:after="0" w:line="240" w:lineRule="auto"/>
      <w:jc w:val="lowKashida"/>
    </w:pPr>
    <w:rPr>
      <w:rFonts w:ascii="Times New Roman" w:eastAsia="SimSun" w:hAnsi="Times New Roman" w:cs="B Nazanin"/>
      <w:color w:val="000000"/>
      <w:sz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40B25"/>
    <w:pPr>
      <w:keepNext/>
      <w:jc w:val="center"/>
      <w:outlineLvl w:val="0"/>
    </w:pPr>
    <w:rPr>
      <w:rFonts w:eastAsia="Times New Roman" w:cs="Traditional Arabic"/>
      <w:b/>
      <w:bCs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B25"/>
    <w:rPr>
      <w:rFonts w:ascii="Times New Roman" w:eastAsia="Times New Roman" w:hAnsi="Times New Roman" w:cs="Traditional Arabic"/>
      <w:b/>
      <w:bCs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E40B25"/>
    <w:pPr>
      <w:jc w:val="center"/>
    </w:pPr>
    <w:rPr>
      <w:rFonts w:eastAsia="Times New Roman" w:cs="Traditional Arabic"/>
      <w:b/>
      <w:bCs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E40B25"/>
    <w:rPr>
      <w:rFonts w:ascii="Times New Roman" w:eastAsia="Times New Roman" w:hAnsi="Times New Roman" w:cs="Traditional Arabic"/>
      <w:b/>
      <w:bCs/>
      <w:sz w:val="20"/>
      <w:szCs w:val="20"/>
      <w:lang w:eastAsia="zh-CN"/>
    </w:rPr>
  </w:style>
  <w:style w:type="paragraph" w:styleId="Subtitle">
    <w:name w:val="Subtitle"/>
    <w:basedOn w:val="Normal"/>
    <w:link w:val="SubtitleChar"/>
    <w:qFormat/>
    <w:rsid w:val="00E40B25"/>
    <w:pPr>
      <w:jc w:val="center"/>
    </w:pPr>
    <w:rPr>
      <w:rFonts w:eastAsia="Times New Roman" w:cs="Traditional Arabic"/>
      <w:b/>
      <w:bCs/>
      <w:color w:val="auto"/>
      <w:sz w:val="22"/>
      <w:szCs w:val="26"/>
    </w:rPr>
  </w:style>
  <w:style w:type="character" w:customStyle="1" w:styleId="SubtitleChar">
    <w:name w:val="Subtitle Char"/>
    <w:basedOn w:val="DefaultParagraphFont"/>
    <w:link w:val="Subtitle"/>
    <w:rsid w:val="00E40B25"/>
    <w:rPr>
      <w:rFonts w:ascii="Times New Roman" w:eastAsia="Times New Roman" w:hAnsi="Times New Roman" w:cs="Traditional Arabic"/>
      <w:b/>
      <w:bCs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25"/>
    <w:rPr>
      <w:rFonts w:ascii="Tahoma" w:eastAsia="SimSu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hajari</cp:lastModifiedBy>
  <cp:revision>2</cp:revision>
  <dcterms:created xsi:type="dcterms:W3CDTF">2017-02-01T10:44:00Z</dcterms:created>
  <dcterms:modified xsi:type="dcterms:W3CDTF">2017-02-01T10:44:00Z</dcterms:modified>
</cp:coreProperties>
</file>